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WPR.2600.30.</w:t>
      </w: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2</w:t>
      </w: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024</w:t>
        <w:tab/>
        <w:tab/>
        <w:tab/>
        <w:tab/>
        <w:tab/>
      </w:r>
      <w:r>
        <w:rPr>
          <w:rFonts w:eastAsia="SimSun" w:cs="Arial" w:ascii="Hedvig Letters Serif 24pt" w:hAnsi="Hedvig Letters Serif 24pt"/>
          <w:b/>
          <w:bCs/>
          <w:color w:val="FF0000"/>
          <w:kern w:val="2"/>
          <w:sz w:val="22"/>
          <w:szCs w:val="22"/>
          <w:lang w:eastAsia="zh-CN" w:bidi="hi-IN"/>
        </w:rPr>
        <w:t xml:space="preserve">        </w:t>
      </w:r>
      <w:r>
        <w:rPr>
          <w:rFonts w:eastAsia="SimSun" w:cs="Arial" w:ascii="Hedvig Letters Serif 24pt" w:hAnsi="Hedvig Letters Serif 24pt"/>
          <w:kern w:val="2"/>
          <w:sz w:val="22"/>
          <w:szCs w:val="22"/>
          <w:lang w:eastAsia="zh-CN" w:bidi="hi-IN"/>
        </w:rPr>
        <w:t>Chełmiec, dnia 09 sierpnia 2024 roku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Hedvig Letters Serif 24pt" w:hAnsi="Hedvig Letters Serif 24pt" w:eastAsia="SimSun" w:cs="Arial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ZAPYTANIE OFERTOWE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 w:eastAsia="SimSun" w:cs="Arial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Times New Roman" w:ascii="Hedvig Letters Serif 24pt" w:hAnsi="Hedvig Letters Serif 24pt"/>
          <w:kern w:val="2"/>
          <w:sz w:val="22"/>
          <w:szCs w:val="22"/>
          <w:lang w:eastAsia="zh-CN" w:bidi="hi-IN"/>
        </w:rPr>
        <w:t>Gmina Chełmiec, zaprasza do złożenia oferty dla zadania: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 w:eastAsia="Times New Roman" w:cs="Verdana"/>
          <w:kern w:val="2"/>
          <w:sz w:val="22"/>
          <w:szCs w:val="22"/>
          <w:lang w:eastAsia="zh-CN" w:bidi="hi-IN"/>
        </w:rPr>
      </w:pPr>
      <w:r>
        <w:rPr>
          <w:rFonts w:eastAsia="Times New Roman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„</w:t>
      </w:r>
      <w:r>
        <w:rPr>
          <w:rFonts w:eastAsia="SimSun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Wykonanie koncepcji oraz dokumentacji projektowo – kosztorysowej zagospodarowania rowerowego placu zabaw - PUMPTRACK”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Obiekt: </w:t>
      </w:r>
      <w:r>
        <w:rPr>
          <w:rFonts w:cs="Times New Roman" w:ascii="Hedvig Letters Serif 24pt" w:hAnsi="Hedvig Letters Serif 24pt"/>
          <w:sz w:val="22"/>
          <w:szCs w:val="22"/>
        </w:rPr>
        <w:t>TOR PUMPTRACK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Lokalizacja:</w:t>
      </w:r>
      <w:r>
        <w:rPr>
          <w:rFonts w:cs="Times New Roman" w:ascii="Hedvig Letters Serif 24pt" w:hAnsi="Hedvig Letters Serif 24pt"/>
          <w:sz w:val="22"/>
          <w:szCs w:val="22"/>
        </w:rPr>
        <w:t xml:space="preserve"> dz. ewid. nr 1267/1 w miejscowości Świniarsko, gm. Chełmiec (teren Centrum Aktywnego Wypoczynku)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>Cenę należy podać jako cenę brutto za całość ww. prac.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 xml:space="preserve">Wartość zamówienia nie przekroczy kwoty 130.000,00 zł netto w trakcie realizacji umowy.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eastAsia="Times New Roman" w:cs="Times New Roman"/>
          <w:iCs/>
          <w:sz w:val="22"/>
          <w:szCs w:val="22"/>
          <w:lang w:eastAsia="pl-PL"/>
        </w:rPr>
      </w:pPr>
      <w:r>
        <w:rPr>
          <w:rFonts w:eastAsia="Times New Roman" w:cs="Times New Roman" w:ascii="Hedvig Letters Serif 24pt" w:hAnsi="Hedvig Letters Serif 24pt"/>
          <w:iCs/>
          <w:sz w:val="22"/>
          <w:szCs w:val="22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1. Dokumentacja projektowa powinna składać się z: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a) Opracowanej koncepcji wraz z szacunkowym zestawieniem kosztów budowy. </w:t>
      </w: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>Wymagania:</w:t>
      </w:r>
    </w:p>
    <w:p>
      <w:pPr>
        <w:pStyle w:val="NormalWeb"/>
        <w:spacing w:lineRule="auto" w:line="240" w:beforeAutospacing="0" w:before="0" w:afterAutospacing="0" w:after="0"/>
        <w:ind w:right="-142"/>
        <w:jc w:val="both"/>
        <w:rPr>
          <w:rFonts w:cs="Arial"/>
          <w:u w:val="single"/>
        </w:rPr>
      </w:pPr>
      <w:r>
        <w:rPr>
          <w:rFonts w:cs="Arial"/>
          <w:u w:val="single"/>
        </w:rPr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I. Ważniejsze parametry toru Easy Pump: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powierzchnia toru po obrysie skarp - 625,0 m2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powierzchnia asfaltowa w rzucie -308,0m2,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długość toru w rzucie - min. 168,0 m,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szerokość warstwy jezdnej toru - min. 170 cm,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wysokość zakrętów profilowanych toru pumptrack (mierzona od powierzchni asfaltowej w najniższym punkcie bandy do powierzchni asfaltowej na koronie bandy) - min. 100 cm,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ilość zakrętów profilowanych - min. 4 szt.,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promień zakrętów - min. 360 cm.</w:t>
      </w:r>
    </w:p>
    <w:p>
      <w:pPr>
        <w:pStyle w:val="NormalWeb"/>
        <w:spacing w:lineRule="auto" w:line="276" w:beforeAutospacing="0" w:before="0" w:afterAutospacing="0" w:after="0"/>
        <w:ind w:left="67" w:right="-284"/>
        <w:jc w:val="both"/>
        <w:rPr>
          <w:rFonts w:cs="Arial"/>
        </w:rPr>
      </w:pPr>
      <w:r>
        <w:rPr>
          <w:rFonts w:cs="Arial"/>
        </w:rPr>
      </w:r>
    </w:p>
    <w:p>
      <w:pPr>
        <w:pStyle w:val="NormalWeb"/>
        <w:spacing w:lineRule="auto" w:line="276" w:beforeAutospacing="0" w:before="0" w:afterAutospacing="0" w:after="0"/>
        <w:ind w:left="67" w:right="-284"/>
        <w:jc w:val="both"/>
        <w:rPr>
          <w:rFonts w:ascii="Hedvig Letters Serif 24pt" w:hAnsi="Hedvig Letters Serif 24pt"/>
          <w:sz w:val="22"/>
          <w:szCs w:val="22"/>
          <w:u w:val="single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II. Infrastruktura towarzysząca: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W pobliżu toru należy przewidzieć wykonanie utwardzonego placu (o powierzchni ok. 40 m</w:t>
      </w:r>
      <w:r>
        <w:rPr>
          <w:rFonts w:cs="Arial" w:ascii="Hedvig Letters Serif 24pt" w:hAnsi="Hedvig Letters Serif 24pt"/>
          <w:sz w:val="22"/>
          <w:szCs w:val="22"/>
          <w:vertAlign w:val="superscript"/>
        </w:rPr>
        <w:t>2</w:t>
      </w:r>
      <w:r>
        <w:rPr>
          <w:rFonts w:ascii="Hedvig Letters Serif 24pt" w:hAnsi="Hedvig Letters Serif 24pt"/>
          <w:sz w:val="22"/>
          <w:szCs w:val="22"/>
        </w:rPr>
        <w:t xml:space="preserve">) </w:t>
      </w:r>
      <w:r>
        <w:rPr>
          <w:rFonts w:cs="Arial" w:ascii="Hedvig Letters Serif 24pt" w:hAnsi="Hedvig Letters Serif 24pt"/>
          <w:sz w:val="22"/>
          <w:szCs w:val="22"/>
        </w:rPr>
        <w:t xml:space="preserve">stanowiącego miejsce przygotowania do jazdy. Przy placu należy zlokalizować elementy małej architektury: ławki, stojaki na rowery, tablicę regulaminową i </w:t>
      </w:r>
      <w:r>
        <w:rPr>
          <w:rFonts w:cs="Courier New" w:ascii="Hedvig Letters Serif 24pt" w:hAnsi="Hedvig Letters Serif 24pt"/>
          <w:sz w:val="22"/>
          <w:szCs w:val="22"/>
        </w:rPr>
        <w:t xml:space="preserve">kosz </w:t>
      </w:r>
      <w:r>
        <w:rPr>
          <w:rFonts w:cs="Arial" w:ascii="Hedvig Letters Serif 24pt" w:hAnsi="Hedvig Letters Serif 24pt"/>
          <w:sz w:val="22"/>
          <w:szCs w:val="22"/>
        </w:rPr>
        <w:t>na śmieci. Plac powinien być usytuowany w pobliżu nitek toru i trasy z zachowaniem stref bezpieczeństwa i stwarzać możliwość przygotowania do jazdy, odpoczynku oraz powinien być zorganizowanym miejscem spotkań młodzieży. </w:t>
      </w:r>
    </w:p>
    <w:p>
      <w:pPr>
        <w:pStyle w:val="NormalWeb"/>
        <w:spacing w:lineRule="auto" w:line="276" w:beforeAutospacing="0" w:before="0" w:afterAutospacing="0" w:after="0"/>
        <w:ind w:left="-77" w:right="-284"/>
        <w:jc w:val="both"/>
        <w:rPr>
          <w:rFonts w:cs="Arial"/>
        </w:rPr>
      </w:pPr>
      <w:r>
        <w:rPr>
          <w:rFonts w:cs="Arial"/>
        </w:rPr>
      </w:r>
    </w:p>
    <w:p>
      <w:pPr>
        <w:pStyle w:val="NormalWeb"/>
        <w:spacing w:lineRule="auto" w:line="276" w:beforeAutospacing="0" w:before="0" w:afterAutospacing="0" w:after="0"/>
        <w:ind w:left="-77" w:right="-284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ab/>
        <w:t>TECHNOLOGIA WYKONANIA ASFALTOWYCH, ROWEROWYCH PLACÓW ZABAW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-28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Wymogi materiałowe: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-28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Mrozoodporny materiał na nasypy,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-28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Podbudowa pod warstwę jezdną z kruszywa łamanego </w:t>
      </w:r>
      <w:r>
        <w:rPr>
          <w:rFonts w:cs="Courier New" w:ascii="Hedvig Letters Serif 24pt" w:hAnsi="Hedvig Letters Serif 24pt"/>
          <w:sz w:val="22"/>
          <w:szCs w:val="22"/>
        </w:rPr>
        <w:t xml:space="preserve">0-31,5 </w:t>
      </w:r>
      <w:r>
        <w:rPr>
          <w:rFonts w:cs="Arial" w:ascii="Hedvig Letters Serif 24pt" w:hAnsi="Hedvig Letters Serif 24pt"/>
          <w:sz w:val="22"/>
          <w:szCs w:val="22"/>
        </w:rPr>
        <w:t>mm,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Warstwa jezdna z betonu asfaltowego AC8s układanego warstwą </w:t>
      </w:r>
      <w:r>
        <w:rPr>
          <w:rFonts w:cs="Courier New" w:ascii="Hedvig Letters Serif 24pt" w:hAnsi="Hedvig Letters Serif 24pt"/>
          <w:sz w:val="22"/>
          <w:szCs w:val="22"/>
        </w:rPr>
        <w:t xml:space="preserve">5-7 </w:t>
      </w:r>
      <w:r>
        <w:rPr>
          <w:rFonts w:cs="Arial" w:ascii="Hedvig Letters Serif 24pt" w:hAnsi="Hedvig Letters Serif 24pt"/>
          <w:sz w:val="22"/>
          <w:szCs w:val="22"/>
        </w:rPr>
        <w:t>cm. Wyklucza się możliwość stosowania destruktu asfaltowego.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cs="Arial"/>
        </w:rPr>
      </w:pPr>
      <w:r>
        <w:rPr>
          <w:rFonts w:cs="Arial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  <w:u w:val="single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Ogólne wytyczne projektowania toru PUMPTRACK: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szerokość warstwy jezdnej - 170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szerokość warstwy jezdnej na przeszkodach sekcji Flow - 200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Minimalna grubość podbudowy z kruszywa mineralnego </w:t>
      </w:r>
      <w:r>
        <w:rPr>
          <w:rFonts w:ascii="Hedvig Letters Serif 24pt" w:hAnsi="Hedvig Letters Serif 24pt"/>
          <w:sz w:val="22"/>
          <w:szCs w:val="22"/>
        </w:rPr>
        <w:t xml:space="preserve">- </w:t>
      </w:r>
      <w:r>
        <w:rPr>
          <w:rFonts w:cs="Arial" w:ascii="Hedvig Letters Serif 24pt" w:hAnsi="Hedvig Letters Serif 24pt"/>
          <w:sz w:val="22"/>
          <w:szCs w:val="22"/>
        </w:rPr>
        <w:t>10 cm po zagęszczeniu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grubość warstwy jezdnej z mieszanki mineralno asfaltowej - 5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</w:t>
      </w:r>
      <w:r>
        <w:rPr>
          <w:rFonts w:cs="Courier New" w:ascii="Hedvig Letters Serif 24pt" w:hAnsi="Hedvig Letters Serif 24pt"/>
          <w:sz w:val="22"/>
          <w:szCs w:val="22"/>
        </w:rPr>
        <w:t xml:space="preserve">Podbudowa </w:t>
      </w:r>
      <w:r>
        <w:rPr>
          <w:rFonts w:cs="Arial" w:ascii="Hedvig Letters Serif 24pt" w:hAnsi="Hedvig Letters Serif 24pt"/>
          <w:sz w:val="22"/>
          <w:szCs w:val="22"/>
        </w:rPr>
        <w:t>musi wystawać poza obrys nawierzchni asfaltowej min. 10 cm.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odległość krawędzi asfaltu od krawędzi nasypu - 30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Minimalny wskaźnik zagęszczenia nasypów Is=</w:t>
      </w:r>
      <w:r>
        <w:rPr>
          <w:rFonts w:ascii="Hedvig Letters Serif 24pt" w:hAnsi="Hedvig Letters Serif 24pt"/>
          <w:sz w:val="22"/>
          <w:szCs w:val="22"/>
        </w:rPr>
        <w:t>0,97 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Minimalny wskaźnik zagęszczenia podbudowy mineralnej pod asfalt Is=0,98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Nawierzchnia asfaltowa musi nachodzić na </w:t>
      </w:r>
      <w:r>
        <w:rPr>
          <w:rFonts w:cs="Courier New" w:ascii="Hedvig Letters Serif 24pt" w:hAnsi="Hedvig Letters Serif 24pt"/>
          <w:sz w:val="22"/>
          <w:szCs w:val="22"/>
        </w:rPr>
        <w:t xml:space="preserve">koronę </w:t>
      </w:r>
      <w:r>
        <w:rPr>
          <w:rFonts w:cs="Arial" w:ascii="Hedvig Letters Serif 24pt" w:hAnsi="Hedvig Letters Serif 24pt"/>
          <w:sz w:val="22"/>
          <w:szCs w:val="22"/>
        </w:rPr>
        <w:t>bandy, pasem o szerokości min. 50cm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Wszystkie krawędzie nawierzchni asfaltowej muszą być fazowane </w:t>
      </w:r>
      <w:r>
        <w:rPr>
          <w:rFonts w:cs="Courier New" w:ascii="Hedvig Letters Serif 24pt" w:hAnsi="Hedvig Letters Serif 24pt"/>
          <w:sz w:val="22"/>
          <w:szCs w:val="22"/>
        </w:rPr>
        <w:t xml:space="preserve">pod </w:t>
      </w:r>
      <w:r>
        <w:rPr>
          <w:rFonts w:cs="Arial" w:ascii="Hedvig Letters Serif 24pt" w:hAnsi="Hedvig Letters Serif 24pt"/>
          <w:sz w:val="22"/>
          <w:szCs w:val="22"/>
        </w:rPr>
        <w:t>kątem 45</w:t>
      </w:r>
      <w:r>
        <w:rPr>
          <w:rFonts w:ascii="Hedvig Letters Serif 24pt" w:hAnsi="Hedvig Letters Serif 24pt"/>
          <w:sz w:val="22"/>
          <w:szCs w:val="22"/>
        </w:rPr>
        <w:t xml:space="preserve">° </w:t>
      </w:r>
      <w:r>
        <w:rPr>
          <w:rFonts w:cs="Arial" w:ascii="Hedvig Letters Serif 24pt" w:hAnsi="Hedvig Letters Serif 24pt"/>
          <w:sz w:val="22"/>
          <w:szCs w:val="22"/>
        </w:rPr>
        <w:t>(+5°)</w:t>
      </w:r>
      <w:r>
        <w:rPr>
          <w:rFonts w:ascii="Hedvig Letters Serif 24pt" w:hAnsi="Hedvig Letters Serif 24pt"/>
          <w:sz w:val="22"/>
          <w:szCs w:val="22"/>
        </w:rPr>
        <w:t xml:space="preserve">. </w:t>
      </w:r>
      <w:r>
        <w:rPr>
          <w:rFonts w:cs="Arial" w:ascii="Hedvig Letters Serif 24pt" w:hAnsi="Hedvig Letters Serif 24pt"/>
          <w:sz w:val="22"/>
          <w:szCs w:val="22"/>
        </w:rPr>
        <w:t xml:space="preserve">Fazowanie i zagęszczanie krawędzi musi odbywać się </w:t>
      </w:r>
      <w:r>
        <w:rPr>
          <w:rFonts w:cs="Courier New" w:ascii="Hedvig Letters Serif 24pt" w:hAnsi="Hedvig Letters Serif 24pt"/>
          <w:sz w:val="22"/>
          <w:szCs w:val="22"/>
        </w:rPr>
        <w:t xml:space="preserve">podczas </w:t>
      </w:r>
      <w:r>
        <w:rPr>
          <w:rFonts w:cs="Arial" w:ascii="Hedvig Letters Serif 24pt" w:hAnsi="Hedvig Letters Serif 24pt"/>
          <w:sz w:val="22"/>
          <w:szCs w:val="22"/>
        </w:rPr>
        <w:t>układania nawierzchni. Niedopuszczalne jest fazowanie (cięcie) po ostygnięciu masy asfaltowej. Krawędzie muszą być wykonane w równej linii, bez pęknięć i ubytków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Połączenia nawierzchni jezdnej w miejscach przerw technologicznych muszą być tak wykonane, aby nie były wyczuwalne uskoki ani zmiany profilu przeszkody. Połączenia mogą być wykonywane w technologii ciepłe na zimne</w:t>
      </w:r>
      <w:r>
        <w:rPr>
          <w:rFonts w:cs="Courier New" w:ascii="Hedvig Letters Serif 24pt" w:hAnsi="Hedvig Letters Serif 24pt"/>
          <w:sz w:val="22"/>
          <w:szCs w:val="22"/>
        </w:rPr>
        <w:t xml:space="preserve">" </w:t>
      </w:r>
      <w:r>
        <w:rPr>
          <w:rFonts w:cs="Arial" w:ascii="Hedvig Letters Serif 24pt" w:hAnsi="Hedvig Letters Serif 24pt"/>
          <w:sz w:val="22"/>
          <w:szCs w:val="22"/>
        </w:rPr>
        <w:t>jedynie w przypadku zastosowania do uszczelnienia emulsji asfaltowej zgodnej z PN- </w:t>
      </w:r>
      <w:bookmarkStart w:id="0" w:name="_GoBack_kopia_1"/>
      <w:bookmarkEnd w:id="0"/>
      <w:r>
        <w:rPr>
          <w:rFonts w:cs="Arial" w:ascii="Hedvig Letters Serif 24pt" w:hAnsi="Hedvig Letters Serif 24pt"/>
          <w:sz w:val="22"/>
          <w:szCs w:val="22"/>
        </w:rPr>
        <w:t xml:space="preserve">EN 13808 lub innych lepiszczy bądź materiałów termoplastycznych </w:t>
      </w:r>
      <w:r>
        <w:rPr>
          <w:rFonts w:ascii="Hedvig Letters Serif 24pt" w:hAnsi="Hedvig Letters Serif 24pt"/>
          <w:sz w:val="22"/>
          <w:szCs w:val="22"/>
        </w:rPr>
        <w:t>(</w:t>
      </w:r>
      <w:r>
        <w:rPr>
          <w:rFonts w:cs="Arial" w:ascii="Hedvig Letters Serif 24pt" w:hAnsi="Hedvig Letters Serif 24pt"/>
          <w:sz w:val="22"/>
          <w:szCs w:val="22"/>
        </w:rPr>
        <w:t>taśmy, pasty itp.) według norm i aprobat technicznych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Warstwa jezdna wszystkich zakrętów musi być w przekroju wycinkiem kota o promieniu nie większym niż 2,6 metra. Niedopuszczalne jest stosowanie band, które są w przekroju płaskie lub promień jest niejednostajny. Wyjątek stanowi dolna półka bandy, która może być wypłaszczona. 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Wszystkie przeszkody </w:t>
      </w:r>
      <w:r>
        <w:rPr>
          <w:rFonts w:cs="Courier New" w:ascii="Hedvig Letters Serif 24pt" w:hAnsi="Hedvig Letters Serif 24pt"/>
          <w:sz w:val="22"/>
          <w:szCs w:val="22"/>
        </w:rPr>
        <w:t>(</w:t>
      </w:r>
      <w:r>
        <w:rPr>
          <w:rFonts w:cs="Arial" w:ascii="Hedvig Letters Serif 24pt" w:hAnsi="Hedvig Letters Serif 24pt"/>
          <w:sz w:val="22"/>
          <w:szCs w:val="22"/>
        </w:rPr>
        <w:t xml:space="preserve">garby, </w:t>
      </w:r>
      <w:r>
        <w:rPr>
          <w:rFonts w:cs="Courier New" w:ascii="Hedvig Letters Serif 24pt" w:hAnsi="Hedvig Letters Serif 24pt"/>
          <w:sz w:val="22"/>
          <w:szCs w:val="22"/>
        </w:rPr>
        <w:t xml:space="preserve">przeszkody </w:t>
      </w:r>
      <w:r>
        <w:rPr>
          <w:rFonts w:cs="Arial" w:ascii="Hedvig Letters Serif 24pt" w:hAnsi="Hedvig Letters Serif 24pt"/>
          <w:sz w:val="22"/>
          <w:szCs w:val="22"/>
        </w:rPr>
        <w:t>złożone) muszą być wyprofilowane w taki sposób, aby umożliwiały płynną jazdę Niedopuszczalne jest wyprofilowanie przeszkód wymuszających nerwową jazdę" tzn. zbyt ostrych o szpiczastych kształtach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Wszystkie przeszkody na całej swojej szerokości muszą mieć jednakowy profil (przekrój podłużny).  Wyjątek mogą stanowić przeszkody celowo wyprofilowane asymetrycznie, tak aby np. ułatwiały zmianę kierunku jazdy (pochylone garby, multiprzeszkody itp.)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Za wyjątkiem odcinków FLOW, które służą do oddawania skoków, odcinki pomiędzy przeszkodami nie mogą być płaskie - przekrój podłużny musi być wycinkiem koła.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Niedopuszczalne jest stosowanie na powierzchni jezdnej emulsji asfaltowej </w:t>
      </w:r>
      <w:r>
        <w:rPr>
          <w:rFonts w:cs="Courier New" w:ascii="Hedvig Letters Serif 24pt" w:hAnsi="Hedvig Letters Serif 24pt"/>
          <w:sz w:val="22"/>
          <w:szCs w:val="22"/>
        </w:rPr>
        <w:t xml:space="preserve">lub </w:t>
      </w:r>
      <w:r>
        <w:rPr>
          <w:rFonts w:cs="Arial" w:ascii="Hedvig Letters Serif 24pt" w:hAnsi="Hedvig Letters Serif 24pt"/>
          <w:sz w:val="22"/>
          <w:szCs w:val="22"/>
        </w:rPr>
        <w:t>innych substancji pozostawiających lepkie i/lub śliskie powierzchnie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Niedopuszczalne jest układanie mieszanki asfaltowej </w:t>
      </w:r>
      <w:r>
        <w:rPr>
          <w:rFonts w:cs="Courier New" w:ascii="Hedvig Letters Serif 24pt" w:hAnsi="Hedvig Letters Serif 24pt"/>
          <w:sz w:val="22"/>
          <w:szCs w:val="22"/>
        </w:rPr>
        <w:t xml:space="preserve">o </w:t>
      </w:r>
      <w:r>
        <w:rPr>
          <w:rFonts w:cs="Arial" w:ascii="Hedvig Letters Serif 24pt" w:hAnsi="Hedvig Letters Serif 24pt"/>
          <w:sz w:val="22"/>
          <w:szCs w:val="22"/>
        </w:rPr>
        <w:t xml:space="preserve">zbyt niskiej temperaturze prowadzące </w:t>
      </w:r>
      <w:r>
        <w:rPr>
          <w:rFonts w:cs="Courier New" w:ascii="Hedvig Letters Serif 24pt" w:hAnsi="Hedvig Letters Serif 24pt"/>
          <w:sz w:val="22"/>
          <w:szCs w:val="22"/>
        </w:rPr>
        <w:t>do </w:t>
      </w:r>
      <w:r>
        <w:rPr>
          <w:rFonts w:cs="Arial" w:ascii="Hedvig Letters Serif 24pt" w:hAnsi="Hedvig Letters Serif 24pt"/>
          <w:sz w:val="22"/>
          <w:szCs w:val="22"/>
        </w:rPr>
        <w:t>powstawania rakowin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Należy stosować narzędzia i techniki zagęszczania pozwalające w dostateczny sposób zagęścić masę na wszystkich, nawet najbardziej stromych powierzchniach bez deformowania optymalnych kształtów </w:t>
      </w:r>
      <w:r>
        <w:rPr>
          <w:rFonts w:cs="Courier New" w:ascii="Hedvig Letters Serif 24pt" w:hAnsi="Hedvig Letters Serif 24pt"/>
          <w:sz w:val="22"/>
          <w:szCs w:val="22"/>
        </w:rPr>
        <w:t>przeszkód </w:t>
      </w:r>
    </w:p>
    <w:p>
      <w:pPr>
        <w:pStyle w:val="NormalWeb"/>
        <w:spacing w:lineRule="auto" w:line="276" w:beforeAutospacing="0" w:before="0" w:afterAutospacing="0" w:after="0"/>
        <w:ind w:right="141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Powierzchnia nawierzchni asfaltowej powinna mieć możliwi jednorodną teksturę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Powierzchnia nawierzchni asfaltowej musi być możliwie gładka, </w:t>
      </w:r>
      <w:r>
        <w:rPr>
          <w:rFonts w:cs="Courier New" w:ascii="Hedvig Letters Serif 24pt" w:hAnsi="Hedvig Letters Serif 24pt"/>
          <w:sz w:val="22"/>
          <w:szCs w:val="22"/>
        </w:rPr>
        <w:t xml:space="preserve">bez </w:t>
      </w:r>
      <w:r>
        <w:rPr>
          <w:rFonts w:cs="Arial" w:ascii="Hedvig Letters Serif 24pt" w:hAnsi="Hedvig Letters Serif 24pt"/>
          <w:sz w:val="22"/>
          <w:szCs w:val="22"/>
        </w:rPr>
        <w:t xml:space="preserve">widocznych pęknięć, miejsc nadmiernie chropowatych </w:t>
      </w:r>
      <w:r>
        <w:rPr>
          <w:rFonts w:cs="Courier New" w:ascii="Hedvig Letters Serif 24pt" w:hAnsi="Hedvig Letters Serif 24pt"/>
          <w:sz w:val="22"/>
          <w:szCs w:val="22"/>
        </w:rPr>
        <w:t>(</w:t>
      </w:r>
      <w:r>
        <w:rPr>
          <w:rFonts w:cs="Arial" w:ascii="Hedvig Letters Serif 24pt" w:hAnsi="Hedvig Letters Serif 24pt"/>
          <w:sz w:val="22"/>
          <w:szCs w:val="22"/>
        </w:rPr>
        <w:t xml:space="preserve">powodujących dyskomfort użytkowników </w:t>
      </w:r>
      <w:r>
        <w:rPr>
          <w:rFonts w:cs="Courier New" w:ascii="Hedvig Letters Serif 24pt" w:hAnsi="Hedvig Letters Serif 24pt"/>
          <w:sz w:val="22"/>
          <w:szCs w:val="22"/>
        </w:rPr>
        <w:t xml:space="preserve">na </w:t>
      </w:r>
      <w:r>
        <w:rPr>
          <w:rFonts w:cs="Arial" w:ascii="Hedvig Letters Serif 24pt" w:hAnsi="Hedvig Letters Serif 24pt"/>
          <w:sz w:val="22"/>
          <w:szCs w:val="22"/>
        </w:rPr>
        <w:t xml:space="preserve">rolkach, deskorolkach, hulajnogach i innym sprzęcie z małymi kółkami) oraz miejsc kruszących </w:t>
      </w:r>
      <w:r>
        <w:rPr>
          <w:rFonts w:cs="Courier New" w:ascii="Hedvig Letters Serif 24pt" w:hAnsi="Hedvig Letters Serif 24pt"/>
          <w:sz w:val="22"/>
          <w:szCs w:val="22"/>
        </w:rPr>
        <w:t xml:space="preserve">się z </w:t>
      </w:r>
      <w:r>
        <w:rPr>
          <w:rFonts w:cs="Arial" w:ascii="Hedvig Letters Serif 24pt" w:hAnsi="Hedvig Letters Serif 24pt"/>
          <w:sz w:val="22"/>
          <w:szCs w:val="22"/>
        </w:rPr>
        <w:t>odpadającymi fragmentami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Pomiędzy przeszkodami należy zastosować </w:t>
      </w:r>
      <w:r>
        <w:rPr>
          <w:rFonts w:cs="Courier New" w:ascii="Hedvig Letters Serif 24pt" w:hAnsi="Hedvig Letters Serif 24pt"/>
          <w:sz w:val="22"/>
          <w:szCs w:val="22"/>
        </w:rPr>
        <w:t xml:space="preserve">spadek </w:t>
      </w:r>
      <w:r>
        <w:rPr>
          <w:rFonts w:cs="Arial" w:ascii="Hedvig Letters Serif 24pt" w:hAnsi="Hedvig Letters Serif 24pt"/>
          <w:sz w:val="22"/>
          <w:szCs w:val="22"/>
        </w:rPr>
        <w:t>poprzeczny nawierzchni o wartości min. 0.5%. W żadnym miejscu toru nie mogą powstawać zastoiska wody.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Należy rozważyć zaprojektowanie podbudowy </w:t>
      </w:r>
      <w:r>
        <w:rPr>
          <w:rFonts w:cs="Courier New" w:ascii="Hedvig Letters Serif 24pt" w:hAnsi="Hedvig Letters Serif 24pt"/>
          <w:sz w:val="22"/>
          <w:szCs w:val="22"/>
        </w:rPr>
        <w:t xml:space="preserve">pod </w:t>
      </w:r>
      <w:r>
        <w:rPr>
          <w:rFonts w:cs="Arial" w:ascii="Hedvig Letters Serif 24pt" w:hAnsi="Hedvig Letters Serif 24pt"/>
          <w:sz w:val="22"/>
          <w:szCs w:val="22"/>
        </w:rPr>
        <w:t xml:space="preserve">powierzchnią </w:t>
      </w:r>
      <w:r>
        <w:rPr>
          <w:rFonts w:cs="Courier New" w:ascii="Hedvig Letters Serif 24pt" w:hAnsi="Hedvig Letters Serif 24pt"/>
          <w:sz w:val="22"/>
          <w:szCs w:val="22"/>
        </w:rPr>
        <w:t xml:space="preserve">toru </w:t>
      </w:r>
      <w:r>
        <w:rPr>
          <w:rFonts w:cs="Arial" w:ascii="Hedvig Letters Serif 24pt" w:hAnsi="Hedvig Letters Serif 24pt"/>
          <w:sz w:val="22"/>
          <w:szCs w:val="22"/>
        </w:rPr>
        <w:t>PUMPTRACK poprawiającą </w:t>
        <w:tab/>
        <w:t xml:space="preserve">nośność </w:t>
      </w:r>
      <w:r>
        <w:rPr>
          <w:rFonts w:cs="Courier New" w:ascii="Hedvig Letters Serif 24pt" w:hAnsi="Hedvig Letters Serif 24pt"/>
          <w:sz w:val="22"/>
          <w:szCs w:val="22"/>
        </w:rPr>
        <w:t>gruntu 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Wodę z miejsc bezodpływowych należy odprowadzić za pomocą odpowiedniego systemu odwodnienia.</w:t>
      </w:r>
    </w:p>
    <w:p>
      <w:pPr>
        <w:pStyle w:val="Normal"/>
        <w:spacing w:lineRule="auto" w:line="276" w:before="0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b) Kompletu dokumentacji projektowej wraz z uzyskaniem skutecznego zgłoszenia/ pozwolenia na budowę: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I) część projektowa (opisowa i rysunkowa),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II) część kosztowa (przedmiar robót i kosztorys inwestorski).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2. Dokumentację projektową należy wykonać w: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3 egzemplarzach projekt zagospodarowania terenu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3 egzemplarzach projektu architektoniczno – budowlanych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3 egzemplarzach projektu technicznego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2 egzemplarzach specyfikację techniczną wykonania i odbioru robót budowlanych,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2 egzemplarzach przedmiar robót i kosztorys inwestorski.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3. Dokumentację projektową w całości należy wykonać i dostarczyć również w wersji elektronicznej CD w formacie *pdf. *dwg oraz w formacie współpracującym z programem Norma –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2 egz.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4. Wykonanie niezbędnych uzgodnień, inwentaryzacji, opinii wynikających z przyjętych rozwiązań oraz spełnić wymagania wynikające z przepisów szczegółowych, uzyskanie warunków technicznych dla budowy lub przebudowy niezbędnej infrastruktury technicznej.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5. Wykonawca zobowiązany jest do uzyskania skutecznego zgłoszenia/ pozwolenia na budowę w imieniu Zamawiającego na podstawie pełnomocnictwa. Należy wystąpić do Urzędu Gminy w Chełmcu o udzielenie pełnomocnictwa na etapie projektowania.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6.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Opinia/ dokumentacja geologiczna, operaty wodno-prawne (koniecznie uwzględnić w wycenie jeżeli teren wymaga), </w:t>
      </w:r>
      <w:r>
        <w:rPr>
          <w:rFonts w:cs="Times New Roman" w:ascii="Hedvig Letters Serif 24pt" w:hAnsi="Hedvig Letters Serif 24pt"/>
          <w:sz w:val="22"/>
          <w:szCs w:val="22"/>
        </w:rPr>
        <w:t>- Do rozpoznania na etapie zamówienia, w terminie późniejszym nie będzie uwzględniane rozszerzenie zadania.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7. Opinie oraz wszystkie niezbędne uzgodnienia wymagane do uzyskania  prawomocnego pozwolenia na budowę ze Starostwa Powiatowego w Nowym Sączu.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8. Wykonawca/ Projektant będzie zobowiązany do bezpłatnego aktualizowania kosztorysów inwestorskich do czasu ogłoszenia postępowania przetargowego przez Zamawiającego na realizację robót budowlanych w terenie. Aktualizacji kosztorysów może odbywać się więcej niż jeden raz oraz Zamawiający ma prawo żądać zmian pozycji kosztorysowych lub podział kosztorysów na mniejsze etapy.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Warunki realizacji: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1) Oferowana cena za prace projektowe powinna obejmować kompleks czynności i kosztów z nimi związanych łącznie z opłatami pobieranymi przez urzędy i instytucje z tytułu uzgodnień prac projektowych oraz opłat związanych z uzyskaniem warunków technicznych dotyczących dostaw mediów, zakupem map i podkładów geodezyjnych oraz wypisów i wyrysów z MPZT.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2) Wykonawca/Projektant powinien uwzględniać wymagania określone w założeniach programowych, warunkach technicznych wydanych przez właścicieli urządzeń infrastruktury, opiniach i uzgodnieniach.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Ponadto w ramach zadania: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1. Projektant na etapie postępowania przetargowego zapewni pomoc w udzielaniu odpowiedzi na pytania dotyczące dokumentacji projektowej oraz w trakcie realizacji robót budowlanych.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2. Projektant przekaże nieodpłatnie na Zamawiającego prawa autorskie majątkowe i zależne do całości dokumentacji, w terminie przekazania dokumentacji.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3. Koncepcja oraz opracowywany projekt powinny być na bieżąco konsultowane z Zamawiającym oraz uzgadniane w zakresie koniecznych opracowań i rozwiązań projektowych dotyczących projektowanego zagospodarowania terenu.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Cena stanowić będzie jedyne kryterium oceny ofert.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ascii="Hedvig Letters Serif 24pt" w:hAnsi="Hedvig Letters Serif 24pt"/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Terminy realizacji: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 xml:space="preserve">– </w:t>
      </w: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>koncepcja: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do 2 miesięcy od daty podpisania umowy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 xml:space="preserve">– </w:t>
      </w: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>opracowanie kompletnej dokumentacji projektowej wraz z uzyskaniem skutecznego zgłoszenia/ pozwolenia na budowę: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do 31 marca 2025 roku.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Wycena powinna zawierać wszelkie czynności towarzyszące niezbędne do wykonania przedmiotu zamówienia oraz uzyskania decyzji o pozwoleniu na budowę.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Zamawiający może unieważnić niniejsze postępowanie na każdym etapie bez podania przyczyny.</w:t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Ofertę należy złożyć na formularzu stanowiącym załącznik nr 1 do postępowania.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Hedvig Letters Serif 24pt" w:hAnsi="Hedvig Letters Serif 24pt"/>
          <w:sz w:val="22"/>
          <w:szCs w:val="22"/>
        </w:rPr>
        <w:t xml:space="preserve">Termin składania ofert: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20.08.2024 r.</w:t>
      </w:r>
      <w:r>
        <w:rPr>
          <w:rFonts w:cs="Times New Roman" w:ascii="Hedvig Letters Serif 24pt" w:hAnsi="Hedvig Letters Serif 24pt"/>
          <w:sz w:val="22"/>
          <w:szCs w:val="22"/>
        </w:rPr>
        <w:t xml:space="preserve"> do godziny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11:00</w:t>
      </w:r>
      <w:r>
        <w:rPr>
          <w:rFonts w:cs="Times New Roman" w:ascii="Hedvig Letters Serif 24pt" w:hAnsi="Hedvig Letters Serif 24pt"/>
          <w:sz w:val="22"/>
          <w:szCs w:val="22"/>
        </w:rPr>
        <w:t xml:space="preserve"> mailowo na adres: </w:t>
      </w:r>
      <w:r>
        <w:rPr>
          <w:rFonts w:cs="Times New Roman" w:ascii="Hedvig Letters Serif 24pt" w:hAnsi="Hedvig Letters Serif 24pt"/>
          <w:b/>
          <w:bCs/>
          <w:i w:val="false"/>
          <w:iCs w:val="false"/>
          <w:sz w:val="22"/>
          <w:szCs w:val="22"/>
          <w:u w:val="single"/>
        </w:rPr>
        <w:t>knowak</w:t>
      </w:r>
      <w:hyperlink r:id="rId2">
        <w:r>
          <w:rPr>
            <w:rStyle w:val="Hyperlink"/>
            <w:rFonts w:cs="Times New Roman" w:ascii="Hedvig Letters Serif 24pt" w:hAnsi="Hedvig Letters Serif 24pt"/>
            <w:b/>
            <w:bCs/>
            <w:i w:val="false"/>
            <w:iCs w:val="false"/>
            <w:color w:val="auto"/>
            <w:sz w:val="22"/>
            <w:szCs w:val="22"/>
            <w:u w:val="single"/>
          </w:rPr>
          <w:t>@ch</w:t>
        </w:r>
        <w:r>
          <w:rPr>
            <w:rStyle w:val="Hyperlink"/>
            <w:rFonts w:cs="Times New Roman" w:ascii="Hedvig Letters Serif 24pt" w:hAnsi="Hedvig Letters Serif 24pt"/>
            <w:b/>
            <w:bCs/>
            <w:i w:val="false"/>
            <w:iCs w:val="false"/>
            <w:color w:val="auto"/>
            <w:sz w:val="22"/>
            <w:szCs w:val="22"/>
          </w:rPr>
          <w:t>elmiec.pl</w:t>
        </w:r>
      </w:hyperlink>
    </w:p>
    <w:p>
      <w:pPr>
        <w:pStyle w:val="Normal"/>
        <w:spacing w:lineRule="auto" w:line="276" w:before="0" w:after="27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Times New Roman" w:cs="Times New Roman" w:ascii="Hedvig Letters Serif 24pt" w:hAnsi="Hedvig Letters Serif 24pt"/>
          <w:color w:val="000000"/>
          <w:sz w:val="22"/>
          <w:szCs w:val="22"/>
        </w:rPr>
        <w:t>tel. 18 548 02 19 w godz. 8:00 do 15:00</w:t>
      </w:r>
    </w:p>
    <w:p>
      <w:pPr>
        <w:pStyle w:val="Normal"/>
        <w:spacing w:lineRule="auto" w:line="276"/>
        <w:jc w:val="both"/>
        <w:rPr>
          <w:rFonts w:ascii="Hedvig Letters Serif 24pt" w:hAnsi="Hedvig Letters Serif 24pt" w:cs="Times New Roman"/>
          <w:sz w:val="22"/>
          <w:szCs w:val="22"/>
          <w:u w:val="single"/>
        </w:rPr>
      </w:pPr>
      <w:r>
        <w:rPr>
          <w:rFonts w:cs="Times New Roman" w:ascii="Hedvig Letters Serif 24pt" w:hAnsi="Hedvig Letters Serif 24pt"/>
          <w:sz w:val="22"/>
          <w:szCs w:val="22"/>
          <w:u w:val="single"/>
        </w:rPr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Standard"/>
        <w:spacing w:lineRule="auto" w:line="276"/>
        <w:ind w:left="2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" w:cs="Times New Roman" w:ascii="Hedvig Letters Serif 24pt" w:hAnsi="Hedvig Letters Serif 24pt"/>
          <w:b/>
          <w:bCs/>
          <w:color w:val="auto"/>
          <w:sz w:val="22"/>
          <w:szCs w:val="22"/>
          <w:u w:val="single"/>
        </w:rPr>
        <w:t>Załączniki:</w:t>
      </w:r>
    </w:p>
    <w:p>
      <w:pPr>
        <w:pStyle w:val="Standard"/>
        <w:spacing w:lineRule="auto" w:line="276"/>
        <w:ind w:left="2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" w:cs="Times New Roman" w:ascii="Hedvig Letters Serif 24pt" w:hAnsi="Hedvig Letters Serif 24pt"/>
          <w:color w:val="auto"/>
          <w:sz w:val="22"/>
          <w:szCs w:val="22"/>
        </w:rPr>
        <w:t>załącznik 1 –  formularz ofertowy</w:t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76"/>
        <w:ind w:left="5103"/>
        <w:rPr>
          <w:rFonts w:ascii="Hedvig Letters Serif 24pt" w:hAnsi="Hedvig Letters Serif 24pt" w:cs="Times New Roman"/>
          <w:b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76" w:before="0" w:after="0"/>
        <w:ind w:left="5103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>Wójt Gminy Chełmiec</w:t>
      </w:r>
    </w:p>
    <w:p>
      <w:pPr>
        <w:pStyle w:val="Normal"/>
        <w:tabs>
          <w:tab w:val="clear" w:pos="708"/>
          <w:tab w:val="left" w:pos="5103" w:leader="none"/>
        </w:tabs>
        <w:spacing w:lineRule="auto" w:line="276" w:before="0" w:after="0"/>
        <w:ind w:left="5103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 xml:space="preserve">   </w:t>
      </w:r>
    </w:p>
    <w:p>
      <w:pPr>
        <w:pStyle w:val="Normal"/>
        <w:tabs>
          <w:tab w:val="clear" w:pos="708"/>
          <w:tab w:val="left" w:pos="5103" w:leader="none"/>
        </w:tabs>
        <w:spacing w:lineRule="auto" w:line="276" w:before="0" w:after="0"/>
        <w:ind w:left="5103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 xml:space="preserve">     </w:t>
      </w:r>
      <w:r>
        <w:rPr>
          <w:rFonts w:cs="Times New Roman" w:ascii="Hedvig Letters Serif 24pt" w:hAnsi="Hedvig Letters Serif 24pt"/>
          <w:b/>
          <w:sz w:val="22"/>
          <w:szCs w:val="22"/>
        </w:rPr>
        <w:t xml:space="preserve">Stanisław Kuzak </w:t>
      </w:r>
    </w:p>
    <w:sectPr>
      <w:type w:val="nextPage"/>
      <w:pgSz w:w="11906" w:h="16838"/>
      <w:pgMar w:left="1417" w:right="141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dvig Letters Serif 24p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527"/>
    <w:rPr>
      <w:color w:themeColor="hyperlink" w:val="0563C1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a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d45be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pl-PL" w:eastAsia="zh-CN" w:bidi="hi-IN"/>
    </w:rPr>
  </w:style>
  <w:style w:type="paragraph" w:styleId="NoSpacing">
    <w:name w:val="No Spacing"/>
    <w:qFormat/>
    <w:rsid w:val="000b57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c2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arwala@chelmiec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Application>LibreOffice/7.6.0.3$Windows_X86_64 LibreOffice_project/69edd8b8ebc41d00b4de3915dc82f8f0fc3b6265</Application>
  <AppVersion>15.0000</AppVersion>
  <Pages>5</Pages>
  <Words>1218</Words>
  <Characters>8092</Characters>
  <CharactersWithSpaces>9320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2023-09-26T10:31:00Z</dcterms:created>
  <dc:creator>user</dc:creator>
  <dc:description/>
  <dc:language>pl-PL</dc:language>
  <cp:lastModifiedBy/>
  <cp:lastPrinted>2024-08-07T12:42:50Z</cp:lastPrinted>
  <dcterms:modified xsi:type="dcterms:W3CDTF">2024-08-09T12:31:26Z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