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Z uwagi na wartość umowy nieprzekraczającą 130 000,00 złotych, zgodnie z art. 2 ust. 1 pkt 1 ustawy z dnia 11 września 2019 r. Prawo zamówień publicznych (Dz. U. z 2024 r. poz. 1320), nie stosuje się przepisów tej ustawy. W wyniku przeprowadzenia zapytania ofertowego, znak sprawy: </w:t>
      </w:r>
      <w:r>
        <w:rPr>
          <w:rFonts w:eastAsia="Calibri" w:cs="Calibri"/>
          <w:b/>
          <w:bCs/>
          <w:sz w:val="24"/>
          <w:szCs w:val="24"/>
        </w:rPr>
        <w:t>WIR.271.</w:t>
      </w:r>
      <w:r>
        <w:rPr>
          <w:rFonts w:eastAsia="Calibri" w:cs="Calibri"/>
          <w:b/>
          <w:bCs/>
          <w:sz w:val="24"/>
          <w:szCs w:val="24"/>
        </w:rPr>
        <w:t>31</w:t>
      </w:r>
      <w:r>
        <w:rPr>
          <w:rFonts w:eastAsia="Calibri" w:cs="Calibri"/>
          <w:b/>
          <w:bCs/>
          <w:sz w:val="24"/>
          <w:szCs w:val="24"/>
        </w:rPr>
        <w:t>.2025</w:t>
      </w:r>
      <w:r>
        <w:rPr>
          <w:sz w:val="24"/>
          <w:szCs w:val="24"/>
        </w:rPr>
        <w:t>,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sz w:val="24"/>
          <w:szCs w:val="24"/>
        </w:rPr>
      </w:pPr>
      <w:r>
        <w:rPr>
          <w:sz w:val="24"/>
          <w:szCs w:val="24"/>
        </w:rPr>
        <w:t>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w:t>
      </w:r>
    </w:p>
    <w:p>
      <w:pPr>
        <w:pStyle w:val="Normal"/>
        <w:numPr>
          <w:ilvl w:val="0"/>
          <w:numId w:val="0"/>
        </w:numPr>
        <w:spacing w:lineRule="auto" w:line="276"/>
        <w:ind w:hanging="0" w:left="360" w:right="0"/>
        <w:jc w:val="both"/>
        <w:rPr/>
      </w:pPr>
      <w:r>
        <w:rPr>
          <w:rFonts w:eastAsia="Calibri" w:cs="Calibri" w:ascii="Calibri" w:hAnsi="Calibri"/>
          <w:b/>
          <w:bCs/>
          <w:sz w:val="24"/>
          <w:szCs w:val="24"/>
        </w:rPr>
        <w:t xml:space="preserve">Wykonanie dokumentacji projektowej oświetlenia drogi powiatowej Wielogłowy – Ubiad na odcinku od DK 75 do mostu na potoku Ubiadek (850 mb)  </w:t>
        <w:br/>
      </w:r>
      <w:r>
        <w:rPr>
          <w:sz w:val="24"/>
          <w:szCs w:val="24"/>
        </w:rPr>
        <w:t>wraz z uzyskaniem skutecznego zgłoszenia/ prawomocnej decyzji o pozwoleniu na budowę,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ListParagraph"/>
        <w:numPr>
          <w:ilvl w:val="0"/>
          <w:numId w:val="2"/>
        </w:numPr>
        <w:spacing w:before="0" w:after="0"/>
        <w:ind w:hanging="357" w:left="720"/>
        <w:contextualSpacing/>
        <w:jc w:val="both"/>
        <w:rPr>
          <w:sz w:val="24"/>
          <w:szCs w:val="24"/>
        </w:rPr>
      </w:pPr>
      <w:r>
        <w:rPr>
          <w:sz w:val="24"/>
          <w:szCs w:val="24"/>
        </w:rPr>
        <w:t>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(Dz. U. z 2023 r. poz. 1440).</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3"/>
        </w:numPr>
        <w:spacing w:lineRule="auto" w:line="276"/>
        <w:jc w:val="both"/>
        <w:rPr>
          <w:sz w:val="24"/>
          <w:szCs w:val="24"/>
        </w:rPr>
      </w:pPr>
      <w:r>
        <w:rPr>
          <w:sz w:val="24"/>
          <w:szCs w:val="24"/>
        </w:rPr>
        <w:t>ustawy z dnia 19 lipca 2019 r. o zapewnieniu dostępności osobom ze szczególnymi potrzebami (Dz. U. z 2024 poz. 1411);</w:t>
      </w:r>
    </w:p>
    <w:p>
      <w:pPr>
        <w:pStyle w:val="NoSpacing"/>
        <w:numPr>
          <w:ilvl w:val="0"/>
          <w:numId w:val="3"/>
        </w:numPr>
        <w:spacing w:lineRule="auto" w:line="276"/>
        <w:jc w:val="both"/>
        <w:rPr>
          <w:sz w:val="24"/>
          <w:szCs w:val="24"/>
        </w:rPr>
      </w:pPr>
      <w:r>
        <w:rPr>
          <w:sz w:val="24"/>
          <w:szCs w:val="24"/>
        </w:rPr>
        <w:t>ustawy z dnia 4 kwietnia 2019 r. o dostępności cyfrowej stron internetowych i aplikacji mobilnych podmiotów publicznych (Dz. U. 2023 r. poz. 1440) w tym, z wszystkimi wytycznymi dla dostępności treści internetowych zawartymi w załączniku do tej ustawy.</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4.</w:t>
      </w:r>
    </w:p>
    <w:p>
      <w:pPr>
        <w:pStyle w:val="NoSpacing"/>
        <w:numPr>
          <w:ilvl w:val="0"/>
          <w:numId w:val="13"/>
        </w:numPr>
        <w:spacing w:lineRule="auto" w:line="276"/>
        <w:jc w:val="both"/>
        <w:rPr>
          <w:sz w:val="24"/>
          <w:szCs w:val="24"/>
        </w:rPr>
      </w:pPr>
      <w:bookmarkStart w:id="0" w:name="_Hlk187824734"/>
      <w:r>
        <w:rPr>
          <w:sz w:val="24"/>
          <w:szCs w:val="24"/>
        </w:rPr>
        <w:t xml:space="preserve">Wykonawca zrealizuje przedmiot umowy </w:t>
      </w:r>
      <w:bookmarkEnd w:id="0"/>
      <w:r>
        <w:rPr>
          <w:sz w:val="24"/>
          <w:szCs w:val="24"/>
        </w:rPr>
        <w:t>w terminie do:</w:t>
      </w:r>
    </w:p>
    <w:p>
      <w:pPr>
        <w:pStyle w:val="NoSpacing"/>
        <w:numPr>
          <w:ilvl w:val="0"/>
          <w:numId w:val="0"/>
        </w:numPr>
        <w:spacing w:lineRule="auto" w:line="276"/>
        <w:ind w:hanging="0" w:left="360"/>
        <w:jc w:val="both"/>
        <w:rPr>
          <w:sz w:val="24"/>
          <w:szCs w:val="24"/>
        </w:rPr>
      </w:pPr>
      <w:r>
        <w:rPr>
          <w:b w:val="false"/>
          <w:bCs w:val="false"/>
          <w:sz w:val="24"/>
          <w:szCs w:val="24"/>
        </w:rPr>
        <w:t xml:space="preserve">– </w:t>
      </w:r>
      <w:r>
        <w:rPr>
          <w:b w:val="false"/>
          <w:bCs w:val="false"/>
          <w:sz w:val="24"/>
          <w:szCs w:val="24"/>
        </w:rPr>
        <w:t>pozyskanie aktualnej mapy do celów projektowych dla każdej ulicy oraz projekt koncepcyjny przedstawiający dwa warianty rozmieszczenia oświetlenia ulicznego:</w:t>
        <w:br/>
      </w:r>
      <w:r>
        <w:rPr>
          <w:b/>
          <w:bCs/>
          <w:sz w:val="24"/>
          <w:szCs w:val="24"/>
        </w:rPr>
        <w:t>do 2 miesięcy od daty podpisania umowy tj. ……………….……….. r.</w:t>
      </w:r>
    </w:p>
    <w:p>
      <w:pPr>
        <w:pStyle w:val="NoSpacing"/>
        <w:numPr>
          <w:ilvl w:val="0"/>
          <w:numId w:val="0"/>
        </w:numPr>
        <w:spacing w:lineRule="auto" w:line="276"/>
        <w:ind w:hanging="0" w:left="360"/>
        <w:jc w:val="both"/>
        <w:rPr>
          <w:sz w:val="24"/>
          <w:szCs w:val="24"/>
        </w:rPr>
      </w:pPr>
      <w:r>
        <w:rPr>
          <w:b w:val="false"/>
          <w:bCs w:val="false"/>
          <w:sz w:val="24"/>
          <w:szCs w:val="24"/>
        </w:rPr>
        <w:t>–</w:t>
      </w:r>
      <w:r>
        <w:rPr>
          <w:b w:val="false"/>
          <w:bCs w:val="false"/>
          <w:sz w:val="24"/>
          <w:szCs w:val="24"/>
        </w:rPr>
        <w:tab/>
        <w:t xml:space="preserve">uzyskanie zgłoszenia we właściwym organie/ uzyskanie decyzji pozwolenia na budowę: </w:t>
      </w:r>
      <w:r>
        <w:rPr>
          <w:b/>
          <w:bCs/>
          <w:sz w:val="24"/>
          <w:szCs w:val="24"/>
        </w:rPr>
        <w:t>do 8 miesięcy od daty podpisania umowy tj. ………...………….. r.</w:t>
      </w:r>
    </w:p>
    <w:p>
      <w:pPr>
        <w:pStyle w:val="NoSpacing"/>
        <w:numPr>
          <w:ilvl w:val="0"/>
          <w:numId w:val="13"/>
        </w:numPr>
        <w:spacing w:lineRule="auto" w:line="276"/>
        <w:jc w:val="both"/>
        <w:rPr>
          <w:sz w:val="24"/>
          <w:szCs w:val="24"/>
        </w:rPr>
      </w:pPr>
      <w:r>
        <w:rPr>
          <w:sz w:val="24"/>
          <w:szCs w:val="24"/>
        </w:rPr>
        <w:t>Wykonawca zrealizuje przedmiot umowy zgodnie z harmonogramem wykonania usług uzgodnionym z Zamawiającym przed podpisaniem umowy. Harmonogram stanowi Załącznik Nr 3 do niniejszej umowy.</w:t>
      </w:r>
    </w:p>
    <w:p>
      <w:pPr>
        <w:pStyle w:val="NoSpacing"/>
        <w:numPr>
          <w:ilvl w:val="0"/>
          <w:numId w:val="13"/>
        </w:numPr>
        <w:spacing w:lineRule="auto" w:line="276"/>
        <w:jc w:val="both"/>
        <w:rPr>
          <w:sz w:val="24"/>
          <w:szCs w:val="24"/>
        </w:rPr>
      </w:pPr>
      <w:r>
        <w:rPr>
          <w:sz w:val="24"/>
          <w:szCs w:val="24"/>
        </w:rPr>
        <w:t xml:space="preserve">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t>
        <w:br/>
        <w:t>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faktury końcowej, po odbiorze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faktury. Wykonawca winien dostarczyć Zamawiającemu prawidłowo wystawioną fakturę wraz z załącznikami w terminie do 7 dni liczonych od dnia podpisania przez Strony protokołu odbioru końcowego.</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końcowego (bez zastrzeżeń) wraz z kompletem załączników.</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 xml:space="preserve">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t>
        <w:br/>
        <w:t>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 xml:space="preserve">realizacji umowy przez osobę lub osoby, które nie posiadają wymaganych przepisami prawa lub określonych w dokumentacji postępowania kwalifikacji lub uprawnień – w wysokości 10% maksymalnego wynagrodzenia umownego brutto, </w:t>
        <w:br/>
        <w:t>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sz w:val="24"/>
          <w:szCs w:val="24"/>
        </w:rPr>
      </w:pPr>
      <w:r>
        <w:rPr>
          <w:sz w:val="24"/>
          <w:szCs w:val="24"/>
        </w:rPr>
        <w:t xml:space="preserve">Koordynatorem Zamawiającego w zakresie objętym umową jest </w:t>
      </w:r>
      <w:r>
        <w:rPr>
          <w:b/>
          <w:bCs/>
          <w:sz w:val="24"/>
          <w:szCs w:val="24"/>
        </w:rPr>
        <w:t>Pan Grzegorz Wesołowski</w:t>
      </w:r>
      <w:r>
        <w:rPr>
          <w:sz w:val="24"/>
          <w:szCs w:val="24"/>
        </w:rPr>
        <w:t xml:space="preserve">, tel. </w:t>
      </w:r>
      <w:r>
        <w:rPr>
          <w:b/>
          <w:bCs/>
          <w:sz w:val="24"/>
          <w:szCs w:val="24"/>
        </w:rPr>
        <w:t>18 548 02 57</w:t>
      </w:r>
      <w:r>
        <w:rPr>
          <w:sz w:val="24"/>
          <w:szCs w:val="24"/>
        </w:rPr>
        <w:t xml:space="preserve">, adres mailowy: </w:t>
      </w:r>
      <w:hyperlink r:id="rId2">
        <w:r>
          <w:rPr>
            <w:rStyle w:val="Hyperlink"/>
            <w:sz w:val="24"/>
            <w:szCs w:val="24"/>
          </w:rPr>
          <w:t>gwesolowski@chelmiec.pl</w:t>
        </w:r>
      </w:hyperlink>
      <w:r>
        <w:rPr>
          <w:sz w:val="24"/>
          <w:szCs w:val="24"/>
        </w:rPr>
        <w:t>. Zmiana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1" w:name="_Hlk187319962"/>
      <w:r>
        <w:rPr>
          <w:sz w:val="24"/>
          <w:szCs w:val="24"/>
        </w:rPr>
        <w:t xml:space="preserve"> – </w:t>
      </w:r>
      <w:bookmarkEnd w:id="1"/>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Umowę sporządzono w dwóch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20</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Heading3">
    <w:name w:val="Heading 3"/>
    <w:basedOn w:val="Nagwek"/>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tochal@chelmiec.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371</TotalTime>
  <Application>LibreOffice/7.6.0.3$Windows_X86_64 LibreOffice_project/69edd8b8ebc41d00b4de3915dc82f8f0fc3b6265</Application>
  <AppVersion>15.0000</AppVersion>
  <Pages>20</Pages>
  <Words>7004</Words>
  <Characters>45448</Characters>
  <CharactersWithSpaces>52123</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dcterms:modified xsi:type="dcterms:W3CDTF">2025-02-13T16:02:40Z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