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UPROSZCZONA OFERTA REALIZACJI ZADANIA PUBLICZNEGO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7"/>
          <w:szCs w:val="17"/>
        </w:rPr>
      </w:pPr>
      <w:r>
        <w:rPr>
          <w:rFonts w:cs="Calibri,Bold" w:ascii="Calibri,Bold" w:hAnsi="Calibri,Bold"/>
          <w:b/>
          <w:bCs/>
          <w:color w:val="auto"/>
          <w:sz w:val="17"/>
          <w:szCs w:val="17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oraz w przypisach.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Calibri" w:ascii="Calibri" w:hAnsi="Calibri"/>
          <w:strike/>
          <w:color w:val="auto"/>
          <w:sz w:val="17"/>
          <w:szCs w:val="17"/>
        </w:rPr>
        <w:t>niepobieranie</w:t>
      </w:r>
      <w:r>
        <w:rPr>
          <w:rFonts w:cs="Calibri" w:ascii="Calibri" w:hAnsi="Calibri"/>
          <w:color w:val="auto"/>
          <w:sz w:val="17"/>
          <w:szCs w:val="17"/>
        </w:rPr>
        <w:t>*”.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III. Zakres rzeczowy zadania publicznego </w:t>
      </w: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803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2"/>
        <w:gridCol w:w="522"/>
        <w:gridCol w:w="1276"/>
        <w:gridCol w:w="970"/>
        <w:gridCol w:w="1016"/>
        <w:gridCol w:w="1274"/>
        <w:gridCol w:w="1843"/>
        <w:gridCol w:w="29"/>
      </w:tblGrid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 (wraz ze wskazaniem miejsca jego realizacji)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 xml:space="preserve">4. Opis zakładanych rezultatów realizacji zadania publicznego </w:t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363" w:hanging="0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625" w:leader="none"/>
        </w:tabs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71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ind w:left="-4" w:hanging="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Szacunkowa kalkulacja kosztów realizacji zadania publicznego</w:t>
      </w:r>
    </w:p>
    <w:p>
      <w:pPr>
        <w:pStyle w:val="Normal"/>
        <w:ind w:right="567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1"/>
        <w:tblW w:w="76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3401"/>
        <w:gridCol w:w="1135"/>
        <w:gridCol w:w="1132"/>
        <w:gridCol w:w="1136"/>
      </w:tblGrid>
      <w:tr>
        <w:trPr>
          <w:trHeight w:val="562" w:hRule="atLeast"/>
        </w:trPr>
        <w:tc>
          <w:tcPr>
            <w:tcW w:w="85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Lp.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Rodzaj kosztu</w:t>
            </w:r>
          </w:p>
        </w:tc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Wartość PLN</w:t>
            </w:r>
          </w:p>
        </w:tc>
        <w:tc>
          <w:tcPr>
            <w:tcW w:w="113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Z dotacji</w:t>
            </w:r>
          </w:p>
        </w:tc>
        <w:tc>
          <w:tcPr>
            <w:tcW w:w="113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0"/>
                <w:lang w:val="pl-PL" w:eastAsia="en-US" w:bidi="ar-SA"/>
              </w:rPr>
              <w:t>Z innych źródeł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1.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1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2.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2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3.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3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4.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4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5.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Koszt 5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</w:tr>
      <w:tr>
        <w:trPr/>
        <w:tc>
          <w:tcPr>
            <w:tcW w:w="4251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lang w:val="pl-PL" w:eastAsia="en-US" w:bidi="ar-SA"/>
              </w:rPr>
              <w:t>Suma wszystkich kosztów realizacji zadania</w:t>
            </w:r>
          </w:p>
        </w:tc>
        <w:tc>
          <w:tcPr>
            <w:tcW w:w="11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  <w:tc>
          <w:tcPr>
            <w:tcW w:w="113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cstheme="minorHAns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2)</w:t>
        <w:tab/>
        <w:t xml:space="preserve">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inną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>wszystkie informacje podane w ofercie oraz załącznikach są zgodne z aktualnym stanem prawnym 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 xml:space="preserve">................................................................. 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footnotePr>
        <w:numFmt w:val="decimal"/>
      </w:footnotePr>
      <w:type w:val="nextPage"/>
      <w:pgSz w:w="11906" w:h="16838"/>
      <w:pgMar w:left="1418" w:right="1276" w:header="0" w:top="1077" w:footer="0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3">
    <w:p>
      <w:pPr>
        <w:pStyle w:val="Przypisdolny"/>
        <w:widowControl w:val="false"/>
        <w:ind w:left="284" w:hanging="284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BalloonText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Annotationtext"/>
    <w:qFormat/>
    <w:rsid w:val="00b46598"/>
    <w:rPr>
      <w:color w:val="000000"/>
    </w:rPr>
  </w:style>
  <w:style w:type="character" w:styleId="TematkomentarzaZnak" w:customStyle="1">
    <w:name w:val="Temat komentarza Znak"/>
    <w:link w:val="Annotationsubject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1"/>
    <w:qFormat/>
    <w:locked/>
    <w:rsid w:val="0044620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Highlight" w:customStyle="1">
    <w:name w:val="highlight"/>
    <w:basedOn w:val="DefaultParagraphFont"/>
    <w:qFormat/>
    <w:rsid w:val="00af2f69"/>
    <w:rPr/>
  </w:style>
  <w:style w:type="character" w:styleId="Footnote" w:customStyle="1">
    <w:name w:val="footnote"/>
    <w:basedOn w:val="DefaultParagraphFont"/>
    <w:qFormat/>
    <w:rsid w:val="00af2f69"/>
    <w:rPr/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4620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Mainpub" w:customStyle="1">
    <w:name w:val="mainpub"/>
    <w:basedOn w:val="Normal"/>
    <w:qFormat/>
    <w:rsid w:val="00af2f69"/>
    <w:pPr>
      <w:spacing w:beforeAutospacing="1" w:afterAutospacing="1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2712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611F-E483-48BE-9DC1-3763A537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LibreOffice/7.1.0.3$Windows_X86_64 LibreOffice_project/f6099ecf3d29644b5008cc8f48f42f4a40986e4c</Application>
  <AppVersion>15.0000</AppVersion>
  <Pages>4</Pages>
  <Words>443</Words>
  <Characters>3118</Characters>
  <CharactersWithSpaces>3568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2020-01-07T12:05:00Z</dcterms:created>
  <dc:creator/>
  <dc:description/>
  <dc:language>pl-PL</dc:language>
  <cp:lastModifiedBy/>
  <cp:lastPrinted>2023-02-02T08:42:10Z</cp:lastPrinted>
  <dcterms:modified xsi:type="dcterms:W3CDTF">2023-02-02T08:42:15Z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