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1A3E70CC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C46721" w:rsidRPr="009424D6">
        <w:rPr>
          <w:rFonts w:ascii="Calibri Light" w:hAnsi="Calibri Light" w:cs="Calibri Light"/>
          <w:b/>
          <w:bCs/>
          <w:sz w:val="24"/>
          <w:szCs w:val="24"/>
        </w:rPr>
        <w:t>Rozbudowa sieci kanalizacji sanitarnej w miejscowości Ubiad</w:t>
      </w:r>
      <w:r w:rsidR="007B783E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B783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7B783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7B783E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C46721">
        <w:rPr>
          <w:rFonts w:ascii="Calibri Light" w:hAnsi="Calibri Light" w:cs="Calibri Light"/>
          <w:b/>
          <w:iCs/>
          <w:sz w:val="22"/>
          <w:szCs w:val="22"/>
          <w:u w:val="single"/>
        </w:rPr>
        <w:t>28</w:t>
      </w:r>
      <w:r w:rsidR="007B783E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2"/>
      <w:r w:rsidR="007B783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7B783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C46721" w:rsidRPr="009E3C6C" w14:paraId="1BFAA03D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B203A92" w14:textId="77777777" w:rsidR="00C46721" w:rsidRPr="009E3C6C" w:rsidRDefault="00C46721" w:rsidP="00C46721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E73CFE0" w14:textId="77777777" w:rsidR="00C46721" w:rsidRPr="009E3C6C" w:rsidRDefault="00C46721" w:rsidP="00C46721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C46721" w:rsidRDefault="00732069" w:rsidP="00C46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3825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A0A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721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67</cp:revision>
  <cp:lastPrinted>2021-03-08T10:47:00Z</cp:lastPrinted>
  <dcterms:created xsi:type="dcterms:W3CDTF">2019-05-24T16:46:00Z</dcterms:created>
  <dcterms:modified xsi:type="dcterms:W3CDTF">2025-05-10T15:31:00Z</dcterms:modified>
</cp:coreProperties>
</file>